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E0BCB" w14:textId="1143FD9A" w:rsidR="00B84917" w:rsidRPr="005F06E0" w:rsidRDefault="00354670" w:rsidP="00D3320E">
      <w:pPr>
        <w:jc w:val="center"/>
        <w:rPr>
          <w:rFonts w:ascii="Garamond" w:hAnsi="Garamond"/>
          <w:b/>
          <w:bCs/>
          <w:sz w:val="24"/>
          <w:szCs w:val="24"/>
        </w:rPr>
      </w:pPr>
      <w:bookmarkStart w:id="0" w:name="_GoBack"/>
      <w:bookmarkEnd w:id="0"/>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Storia economica</w:t>
      </w:r>
      <w:r w:rsidRPr="005F06E0">
        <w:rPr>
          <w:rFonts w:ascii="Garamond" w:hAnsi="Garamond"/>
          <w:b/>
          <w:bCs/>
          <w:sz w:val="24"/>
          <w:szCs w:val="24"/>
        </w:rPr>
        <w:t xml:space="preserve"> </w:t>
      </w:r>
    </w:p>
    <w:p w14:paraId="269BC32B" w14:textId="4276AEAA" w:rsidR="00B84917" w:rsidRPr="00197E8A" w:rsidRDefault="00293DF3" w:rsidP="00197E8A">
      <w:pPr>
        <w:jc w:val="center"/>
        <w:rPr>
          <w:rFonts w:ascii="Garamond" w:hAnsi="Garamond" w:cs="MJRCNB+TimesNewRomanPSMT"/>
          <w:b/>
          <w:bCs/>
          <w:sz w:val="24"/>
          <w:szCs w:val="24"/>
        </w:rPr>
      </w:pPr>
      <w:r>
        <w:rPr>
          <w:rFonts w:ascii="Garamond" w:hAnsi="Garamond" w:cs="MJRCNB+TimesNewRomanPSMT"/>
          <w:b/>
          <w:bCs/>
          <w:sz w:val="24"/>
          <w:szCs w:val="24"/>
        </w:rPr>
        <w:t>(</w:t>
      </w:r>
      <w:r w:rsidR="00197E8A" w:rsidRPr="00197E8A">
        <w:rPr>
          <w:rFonts w:ascii="Garamond" w:hAnsi="Garamond" w:cs="MJRCNB+TimesNewRomanPSMT"/>
          <w:b/>
          <w:bCs/>
          <w:sz w:val="24"/>
          <w:szCs w:val="24"/>
        </w:rPr>
        <w:t>Prof</w:t>
      </w:r>
      <w:r w:rsidR="00572105">
        <w:rPr>
          <w:rFonts w:ascii="Garamond" w:hAnsi="Garamond" w:cs="MJRCNB+TimesNewRomanPSMT"/>
          <w:b/>
          <w:bCs/>
          <w:sz w:val="24"/>
          <w:szCs w:val="24"/>
        </w:rPr>
        <w:t xml:space="preserve">. </w:t>
      </w:r>
      <w:r w:rsidR="00197E8A" w:rsidRPr="00197E8A">
        <w:rPr>
          <w:rFonts w:ascii="Garamond" w:hAnsi="Garamond" w:cs="MJRCNB+TimesNewRomanPSMT"/>
          <w:b/>
          <w:bCs/>
          <w:sz w:val="24"/>
          <w:szCs w:val="24"/>
        </w:rPr>
        <w:t>Perugini</w:t>
      </w:r>
      <w:r>
        <w:rPr>
          <w:rFonts w:ascii="Garamond" w:hAnsi="Garamond" w:cs="MJRCNB+TimesNewRomanPSMT"/>
          <w:b/>
          <w:bCs/>
          <w:sz w:val="24"/>
          <w:szCs w:val="24"/>
        </w:rPr>
        <w:t>)</w:t>
      </w:r>
    </w:p>
    <w:p w14:paraId="0D8ACC33" w14:textId="0B86A64E"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Storia economica</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77777777"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 </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305369CF" w:rsidR="00E360C6"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2. </w:t>
      </w:r>
      <w:r w:rsidRPr="005F06E0">
        <w:rPr>
          <w:rFonts w:ascii="Garamond" w:hAnsi="Garamond" w:cs="MJRCNB+TimesNewRomanPSMT"/>
          <w:sz w:val="24"/>
          <w:szCs w:val="24"/>
        </w:rPr>
        <w:t>una connessione internet stabile</w:t>
      </w:r>
    </w:p>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w:t>
      </w:r>
      <w:proofErr w:type="spellStart"/>
      <w:r w:rsidRPr="005F06E0">
        <w:rPr>
          <w:rFonts w:ascii="Garamond" w:hAnsi="Garamond" w:cs="MJRCNB+TimesNewRomanPSMT"/>
          <w:sz w:val="24"/>
          <w:szCs w:val="24"/>
        </w:rPr>
        <w:t>smartphone</w:t>
      </w:r>
      <w:proofErr w:type="spellEnd"/>
      <w:r w:rsidRPr="005F06E0">
        <w:rPr>
          <w:rFonts w:ascii="Garamond" w:hAnsi="Garamond" w:cs="MJRCNB+TimesNewRomanPSMT"/>
          <w:sz w:val="24"/>
          <w:szCs w:val="24"/>
        </w:rPr>
        <w:t xml:space="preserv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59C9EF81"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a righe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 xml:space="preserve">codice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5863D0D"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apposito avviso pubblicato sulle pagine docenti d</w:t>
      </w:r>
      <w:r w:rsidR="003825CD" w:rsidRPr="005F06E0">
        <w:rPr>
          <w:rFonts w:ascii="Garamond" w:hAnsi="Garamond" w:cs="MJRCNB+TimesNewRomanPSMT"/>
          <w:sz w:val="24"/>
          <w:szCs w:val="24"/>
        </w:rPr>
        <w:t>e</w:t>
      </w:r>
      <w:r w:rsidR="00354670" w:rsidRPr="005F06E0">
        <w:rPr>
          <w:rFonts w:ascii="Garamond" w:hAnsi="Garamond" w:cs="MJRCNB+TimesNewRomanPSMT"/>
          <w:sz w:val="24"/>
          <w:szCs w:val="24"/>
        </w:rPr>
        <w:t xml:space="preserve">i </w:t>
      </w:r>
      <w:r w:rsidR="003825CD" w:rsidRPr="005F06E0">
        <w:rPr>
          <w:rFonts w:ascii="Garamond" w:hAnsi="Garamond" w:cs="MJRCNB+TimesNewRomanPSMT"/>
          <w:sz w:val="24"/>
          <w:szCs w:val="24"/>
        </w:rPr>
        <w:t>proff. Di Vita e Perugini</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 xml:space="preserve">caricamento della </w:t>
      </w:r>
      <w:proofErr w:type="gramStart"/>
      <w:r w:rsidR="00F2464A" w:rsidRPr="005F06E0">
        <w:rPr>
          <w:rFonts w:ascii="Garamond" w:hAnsi="Garamond" w:cs="MJRCNB+TimesNewRomanPSMT"/>
          <w:sz w:val="24"/>
          <w:szCs w:val="24"/>
        </w:rPr>
        <w:t>prova</w:t>
      </w:r>
      <w:proofErr w:type="gramEnd"/>
      <w:r w:rsidR="00F2464A" w:rsidRPr="005F06E0">
        <w:rPr>
          <w:rFonts w:ascii="Garamond" w:hAnsi="Garamond" w:cs="MJRCNB+TimesNewRomanPSMT"/>
          <w:sz w:val="24"/>
          <w:szCs w:val="24"/>
        </w:rPr>
        <w:t xml:space="preserve">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572105">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2E8CAEE2"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righe</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42A15884"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ripetere la procedura già seguita 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w:t>
      </w:r>
      <w:proofErr w:type="spellStart"/>
      <w:r w:rsidR="005963D6" w:rsidRPr="005F06E0">
        <w:rPr>
          <w:rFonts w:ascii="Garamond" w:hAnsi="Garamond" w:cs="MJRCNB+TimesNewRomanPSMT"/>
          <w:sz w:val="24"/>
          <w:szCs w:val="24"/>
        </w:rPr>
        <w:t>files</w:t>
      </w:r>
      <w:proofErr w:type="spellEnd"/>
      <w:r w:rsidR="005963D6" w:rsidRPr="005F06E0">
        <w:rPr>
          <w:rFonts w:ascii="Garamond" w:hAnsi="Garamond" w:cs="MJRCNB+TimesNewRomanPSMT"/>
          <w:sz w:val="24"/>
          <w:szCs w:val="24"/>
        </w:rPr>
        <w:t xml:space="preserve">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F46C" w14:textId="77777777" w:rsidR="00863C4A" w:rsidRDefault="00863C4A" w:rsidP="00BA125F">
      <w:pPr>
        <w:spacing w:after="0" w:line="240" w:lineRule="auto"/>
      </w:pPr>
      <w:r>
        <w:separator/>
      </w:r>
    </w:p>
  </w:endnote>
  <w:endnote w:type="continuationSeparator" w:id="0">
    <w:p w14:paraId="452DA5C6" w14:textId="77777777" w:rsidR="00863C4A" w:rsidRDefault="00863C4A"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EE4E4" w14:textId="77777777" w:rsidR="00BA125F" w:rsidRDefault="00BA125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742384"/>
      <w:docPartObj>
        <w:docPartGallery w:val="Page Numbers (Bottom of Page)"/>
        <w:docPartUnique/>
      </w:docPartObj>
    </w:sdtPr>
    <w:sdtEndPr/>
    <w:sdtContent>
      <w:p w14:paraId="21C8163C" w14:textId="55870038" w:rsidR="00BA125F" w:rsidRDefault="00BA125F">
        <w:pPr>
          <w:pStyle w:val="Pidipagina"/>
          <w:jc w:val="center"/>
        </w:pPr>
        <w:r>
          <w:fldChar w:fldCharType="begin"/>
        </w:r>
        <w:r>
          <w:instrText>PAGE   \* MERGEFORMAT</w:instrText>
        </w:r>
        <w:r>
          <w:fldChar w:fldCharType="separate"/>
        </w:r>
        <w:r w:rsidR="00DD6404">
          <w:rPr>
            <w:noProof/>
          </w:rPr>
          <w:t>4</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F4A0A" w14:textId="77777777" w:rsidR="00BA125F" w:rsidRDefault="00BA12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E372B" w14:textId="77777777" w:rsidR="00863C4A" w:rsidRDefault="00863C4A" w:rsidP="00BA125F">
      <w:pPr>
        <w:spacing w:after="0" w:line="240" w:lineRule="auto"/>
      </w:pPr>
      <w:r>
        <w:separator/>
      </w:r>
    </w:p>
  </w:footnote>
  <w:footnote w:type="continuationSeparator" w:id="0">
    <w:p w14:paraId="6C6351F9" w14:textId="77777777" w:rsidR="00863C4A" w:rsidRDefault="00863C4A" w:rsidP="00BA1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BAF6C" w14:textId="77777777" w:rsidR="00BA125F" w:rsidRDefault="00BA125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94D3" w14:textId="77777777" w:rsidR="00BA125F" w:rsidRDefault="00BA125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24E5" w14:textId="77777777" w:rsidR="00BA125F" w:rsidRDefault="00BA12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31264"/>
    <w:rsid w:val="00133B26"/>
    <w:rsid w:val="00135860"/>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965B1"/>
    <w:rsid w:val="004A380D"/>
    <w:rsid w:val="004A4B46"/>
    <w:rsid w:val="004A6AC9"/>
    <w:rsid w:val="004E1AA0"/>
    <w:rsid w:val="004F37ED"/>
    <w:rsid w:val="0050088C"/>
    <w:rsid w:val="005078AC"/>
    <w:rsid w:val="0055294E"/>
    <w:rsid w:val="00570ADB"/>
    <w:rsid w:val="00572105"/>
    <w:rsid w:val="005963D6"/>
    <w:rsid w:val="005A6D67"/>
    <w:rsid w:val="005C35EE"/>
    <w:rsid w:val="005E66F0"/>
    <w:rsid w:val="005F06E0"/>
    <w:rsid w:val="005F4212"/>
    <w:rsid w:val="005F63EF"/>
    <w:rsid w:val="005F7CDD"/>
    <w:rsid w:val="00602F1A"/>
    <w:rsid w:val="00610D36"/>
    <w:rsid w:val="00615DBB"/>
    <w:rsid w:val="00621CA5"/>
    <w:rsid w:val="00622DEC"/>
    <w:rsid w:val="006247DE"/>
    <w:rsid w:val="006311A5"/>
    <w:rsid w:val="00643D05"/>
    <w:rsid w:val="00646B41"/>
    <w:rsid w:val="00664C88"/>
    <w:rsid w:val="00683F11"/>
    <w:rsid w:val="00695137"/>
    <w:rsid w:val="006B40FF"/>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90730"/>
    <w:rsid w:val="007978B3"/>
    <w:rsid w:val="007A17C3"/>
    <w:rsid w:val="007A3C10"/>
    <w:rsid w:val="007B0361"/>
    <w:rsid w:val="007B68CD"/>
    <w:rsid w:val="007D47DA"/>
    <w:rsid w:val="007D7DE8"/>
    <w:rsid w:val="007F5A56"/>
    <w:rsid w:val="008107B7"/>
    <w:rsid w:val="0082794A"/>
    <w:rsid w:val="00834A7F"/>
    <w:rsid w:val="0085444A"/>
    <w:rsid w:val="00855D9D"/>
    <w:rsid w:val="00863B8F"/>
    <w:rsid w:val="00863C4A"/>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B4198"/>
    <w:rsid w:val="00BD1C2E"/>
    <w:rsid w:val="00BD1E8E"/>
    <w:rsid w:val="00BD2C00"/>
    <w:rsid w:val="00BE27D0"/>
    <w:rsid w:val="00BF39CF"/>
    <w:rsid w:val="00BF49DE"/>
    <w:rsid w:val="00BF6968"/>
    <w:rsid w:val="00BF71FB"/>
    <w:rsid w:val="00BF79CF"/>
    <w:rsid w:val="00C129DC"/>
    <w:rsid w:val="00C30889"/>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5850"/>
    <w:rsid w:val="00D020E8"/>
    <w:rsid w:val="00D10797"/>
    <w:rsid w:val="00D1156D"/>
    <w:rsid w:val="00D1189D"/>
    <w:rsid w:val="00D23A18"/>
    <w:rsid w:val="00D244D9"/>
    <w:rsid w:val="00D30BDE"/>
    <w:rsid w:val="00D3320E"/>
    <w:rsid w:val="00D34BBA"/>
    <w:rsid w:val="00D45286"/>
    <w:rsid w:val="00D61084"/>
    <w:rsid w:val="00D83C0D"/>
    <w:rsid w:val="00D93FB8"/>
    <w:rsid w:val="00DB0E18"/>
    <w:rsid w:val="00DB47A6"/>
    <w:rsid w:val="00DC24B7"/>
    <w:rsid w:val="00DD23B5"/>
    <w:rsid w:val="00DD4283"/>
    <w:rsid w:val="00DD6404"/>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 w:type="paragraph" w:styleId="Testofumetto">
    <w:name w:val="Balloon Text"/>
    <w:basedOn w:val="Normale"/>
    <w:link w:val="TestofumettoCarattere"/>
    <w:uiPriority w:val="99"/>
    <w:semiHidden/>
    <w:unhideWhenUsed/>
    <w:rsid w:val="00DD64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6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D29FC-153B-4523-8FC6-5220AB9F7898}">
  <ds:schemaRefs>
    <ds:schemaRef ds:uri="http://schemas.microsoft.com/sharepoint/v3/contenttype/forms"/>
  </ds:schemaRefs>
</ds:datastoreItem>
</file>

<file path=customXml/itemProps2.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8789E-C198-4C28-9BDF-4741BDC43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M Perugini</cp:lastModifiedBy>
  <cp:revision>3</cp:revision>
  <dcterms:created xsi:type="dcterms:W3CDTF">2021-01-16T14:04:00Z</dcterms:created>
  <dcterms:modified xsi:type="dcterms:W3CDTF">2021-02-22T09:13:00Z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